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9B" w:rsidRDefault="002E529B" w:rsidP="002E529B">
      <w:pPr>
        <w:pStyle w:val="A3"/>
        <w:spacing w:line="440" w:lineRule="exact"/>
        <w:jc w:val="left"/>
        <w:rPr>
          <w:rStyle w:val="a4"/>
          <w:rFonts w:ascii="黑体" w:eastAsia="黑体" w:hAnsi="黑体" w:cs="黑体"/>
          <w:sz w:val="30"/>
          <w:szCs w:val="30"/>
        </w:rPr>
      </w:pPr>
      <w:r>
        <w:rPr>
          <w:rStyle w:val="a4"/>
          <w:rFonts w:ascii="黑体" w:eastAsia="黑体" w:hAnsi="黑体" w:cs="黑体" w:hint="eastAsia"/>
          <w:sz w:val="30"/>
          <w:szCs w:val="30"/>
        </w:rPr>
        <w:t>附件</w:t>
      </w:r>
      <w:r w:rsidR="00D63F89">
        <w:rPr>
          <w:rStyle w:val="a4"/>
          <w:rFonts w:ascii="黑体" w:eastAsia="黑体" w:hAnsi="黑体" w:cs="黑体" w:hint="eastAsia"/>
          <w:sz w:val="30"/>
          <w:szCs w:val="30"/>
        </w:rPr>
        <w:t>2</w:t>
      </w:r>
    </w:p>
    <w:p w:rsidR="002E529B" w:rsidRDefault="002E529B" w:rsidP="002E529B">
      <w:pPr>
        <w:pStyle w:val="A3"/>
        <w:spacing w:line="44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Style w:val="a4"/>
          <w:rFonts w:ascii="黑体" w:eastAsia="黑体" w:hAnsi="黑体" w:cs="黑体"/>
          <w:sz w:val="30"/>
          <w:szCs w:val="30"/>
        </w:rPr>
        <w:t>培训课程列表（高校教师）</w:t>
      </w:r>
    </w:p>
    <w:tbl>
      <w:tblPr>
        <w:tblStyle w:val="TableNormal"/>
        <w:tblW w:w="83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/>
      </w:tblPr>
      <w:tblGrid>
        <w:gridCol w:w="1702"/>
        <w:gridCol w:w="3005"/>
        <w:gridCol w:w="992"/>
        <w:gridCol w:w="2665"/>
      </w:tblGrid>
      <w:tr w:rsidR="002E529B" w:rsidRPr="00623140" w:rsidTr="002E529B">
        <w:trPr>
          <w:trHeight w:val="350"/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课程模块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单位及职务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</w:p>
          <w:p w:rsidR="002E529B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</w:p>
          <w:p w:rsidR="002E529B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</w:p>
          <w:p w:rsidR="002E529B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</w:p>
          <w:p w:rsidR="002E529B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Style w:val="a4"/>
                <w:rFonts w:ascii="仿宋_GB2312" w:eastAsia="仿宋_GB2312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了解教育政策</w:t>
            </w:r>
          </w:p>
          <w:p w:rsidR="002E529B" w:rsidRDefault="002E529B" w:rsidP="00951DEC">
            <w:pPr>
              <w:pStyle w:val="A3"/>
              <w:jc w:val="center"/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明确任务方向</w:t>
            </w: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Style w:val="a4"/>
                <w:rFonts w:ascii="仿宋_GB2312" w:eastAsia="仿宋_GB2312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了解教育政策</w:t>
            </w:r>
          </w:p>
          <w:p w:rsidR="002E529B" w:rsidRPr="00623140" w:rsidRDefault="002E529B" w:rsidP="00951DEC">
            <w:pPr>
              <w:pStyle w:val="A3"/>
              <w:jc w:val="center"/>
              <w:rPr>
                <w:rFonts w:ascii="仿宋_GB2312" w:eastAsiaTheme="minorEastAsia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明确任务方向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377E41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hyperlink r:id="rId6" w:history="1">
              <w:r w:rsidR="002E529B" w:rsidRPr="00623140">
                <w:rPr>
                  <w:rStyle w:val="Hyperlink0"/>
                  <w:rFonts w:ascii="仿宋_GB2312" w:eastAsia="仿宋_GB2312" w:hAnsi="仿宋" w:cs="仿宋" w:hint="eastAsia"/>
                  <w:sz w:val="24"/>
                  <w:szCs w:val="24"/>
                </w:rPr>
                <w:t>认真学习贯彻党的十九大精神，努力办好人民满意的教育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陈宝生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教育部党组书记、部长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关于高校教师队伍建设中的几个问题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王定华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教育部教师工作司司长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《普通高等学校学生管理规定》修订的背景、主要内容与影响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王大泉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教育部政策法规司副司长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377E41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hyperlink r:id="rId7" w:history="1">
              <w:r w:rsidR="002E529B" w:rsidRPr="00623140">
                <w:rPr>
                  <w:rStyle w:val="Hyperlink0"/>
                  <w:rFonts w:ascii="仿宋_GB2312" w:eastAsia="仿宋_GB2312" w:hAnsi="仿宋" w:cs="仿宋" w:hint="eastAsia"/>
                  <w:sz w:val="24"/>
                  <w:szCs w:val="24"/>
                </w:rPr>
                <w:t>习近平新时代中国特色社会主义思想导学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周文彰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国家行政学院原副院长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学习贯彻党的十九大精神 加快建设人才强国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 xml:space="preserve">吴 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江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中国人事科学研究院研究员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深入体认十九大精神 构建新时代高校师德师风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刘惊铎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37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Style w:val="a4"/>
                <w:rFonts w:ascii="仿宋_GB2312" w:eastAsia="仿宋_GB2312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遵守职业规范</w:t>
            </w: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约束职业行为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高校学术治理的法治框架：《高等学校预防与处理学术不端行为办法》解读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王大泉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教育部政策法规司副司长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高校师德的时代演进与立德树人价值旨归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刘惊铎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法治思维下高校教师的责任担当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姚金菊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北京外国语大学中外教育法研究中心执行主任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712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大学教师的职业责任与道德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肖群忠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中国人民大学哲学院教授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555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大学教师的师德情怀与师德养成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朱月龙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河北师范大学教授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科学道德与学风建设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李静静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中国石油大学（北京）人文社会科学学院副教授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82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Theme="minorEastAsia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步入师德艺境 体验教师幸福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师德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·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师风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·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师道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——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基于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“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新常态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”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背景中的新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“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师说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张明国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北京化工大学马克思主义学院研究生思想政治理论课教研室主任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56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时代的期望与教师的担当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骆承烈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山东省曲阜师范大学孔子文化学院副院长、教授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从史学精神看高校教师人文素质提升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——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从求学生涯和我的老师们谈起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朱孝远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立德树人，在明明德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王殿卿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北京东方道德研究所名誉所长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步入师德艺境 体验职场幸福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Style w:val="a4"/>
                <w:rFonts w:ascii="仿宋_GB2312" w:eastAsia="仿宋_GB2312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刘惊铎</w:t>
            </w: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姚亚萍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77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做一个配享幸福的教育家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——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公正与仁慈：教师伦理的核心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檀传宝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北京师范大学公民与道德教育研究中心主任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53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强化教师礼仪塑造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美丽形象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教师形象与公共礼仪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徐  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江南大学纺织服装学院副教授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592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强化教师礼仪</w:t>
            </w:r>
            <w:r>
              <w:rPr>
                <w:rStyle w:val="Hyperlink0"/>
                <w:rFonts w:ascii="仿宋_GB2312" w:eastAsia="PMingLiU" w:hAnsi="仿宋" w:cs="仿宋"/>
                <w:sz w:val="24"/>
                <w:szCs w:val="24"/>
              </w:rPr>
              <w:t xml:space="preserve"> 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塑造美丽形象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李兴国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国家行政学院社会和文化教研部教授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214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用礼仪打造教师魅力形象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袁涤非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湖南大学新闻传播与影视艺术学院播音系副主任，兼任湖南省礼仪文化交流协会名誉会长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377E41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hyperlink r:id="rId8" w:history="1">
              <w:r w:rsidR="002E529B" w:rsidRPr="00623140">
                <w:rPr>
                  <w:rStyle w:val="Hyperlink1"/>
                  <w:rFonts w:ascii="仿宋_GB2312" w:eastAsia="仿宋_GB2312" w:hAnsi="仿宋" w:cs="仿宋" w:hint="eastAsia"/>
                  <w:sz w:val="24"/>
                  <w:szCs w:val="24"/>
                </w:rPr>
                <w:t>礼仪与沟通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李兴国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国家行政学院社会和文化教研部教授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国学与教师礼仪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袁  梅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曲阜师范大学文学院副教授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377E41" w:rsidP="00951DEC">
            <w:pPr>
              <w:pStyle w:val="A3"/>
              <w:rPr>
                <w:rFonts w:ascii="仿宋_GB2312" w:eastAsia="仿宋_GB2312"/>
              </w:rPr>
            </w:pPr>
            <w:hyperlink r:id="rId9" w:history="1">
              <w:r w:rsidR="002E529B" w:rsidRPr="00623140">
                <w:rPr>
                  <w:rStyle w:val="Hyperlink2"/>
                  <w:rFonts w:ascii="仿宋_GB2312" w:eastAsia="仿宋_GB2312" w:hAnsi="仿宋" w:cs="仿宋" w:hint="eastAsia"/>
                  <w:sz w:val="24"/>
                  <w:szCs w:val="24"/>
                </w:rPr>
                <w:t>自谦而敬人</w:t>
              </w:r>
              <w:r w:rsidR="002E529B" w:rsidRPr="00623140">
                <w:rPr>
                  <w:rStyle w:val="a4"/>
                  <w:rFonts w:ascii="仿宋_GB2312" w:eastAsia="仿宋_GB2312" w:hAnsi="仿宋" w:cs="仿宋" w:hint="eastAsia"/>
                  <w:sz w:val="24"/>
                  <w:szCs w:val="24"/>
                </w:rPr>
                <w:t>——</w:t>
              </w:r>
              <w:r w:rsidR="002E529B" w:rsidRPr="00623140">
                <w:rPr>
                  <w:rStyle w:val="Hyperlink2"/>
                  <w:rFonts w:ascii="仿宋_GB2312" w:eastAsia="仿宋_GB2312" w:hAnsi="仿宋" w:cs="仿宋" w:hint="eastAsia"/>
                  <w:sz w:val="24"/>
                  <w:szCs w:val="24"/>
                </w:rPr>
                <w:t>中华传统礼仪的核心原则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proofErr w:type="gramStart"/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  <w:shd w:val="clear" w:color="auto" w:fill="FFFFFF"/>
              </w:rPr>
              <w:t>彭</w:t>
            </w:r>
            <w:proofErr w:type="gramEnd"/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  <w:shd w:val="clear" w:color="auto" w:fill="FFFFFF"/>
              </w:rPr>
              <w:t xml:space="preserve">  林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  <w:shd w:val="clear" w:color="auto" w:fill="FCFCFC"/>
              </w:rPr>
              <w:t>清华大学人文学院历史系教授、博士生导师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调适不良情绪保持阳光心态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高校青年教师心理健康调适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梁宁建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华东师范大学心理与认知科学学院教授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如何保持心理健康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胡佩诚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北京大学医学部医学心理教研室主任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压力疏导与情绪管理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郑日昌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北京师范大学心理学院教授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 xml:space="preserve">提高心理健康水平，乐享幸福执教人生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吴安民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北京教育学院职业教育学院院长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阳光心态，幸福人生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樊富珉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清华大学心理学系副主任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37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教育家成长规律研究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孙孔懿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江苏省教育科学研究院研究员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Style w:val="a4"/>
                <w:rFonts w:ascii="仿宋_GB2312" w:eastAsia="仿宋_GB2312" w:hAnsi="仿宋" w:cs="仿宋"/>
                <w:sz w:val="24"/>
                <w:szCs w:val="24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学习师德典范</w:t>
            </w: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研讨热点问题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责任高于热爱，师德见于平凡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王国英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保定学院教育系主任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如何做一个温暖的老师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路丙辉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安徽师范大学教授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29B" w:rsidRPr="000D5725" w:rsidRDefault="002E529B" w:rsidP="00951DEC">
            <w:pPr>
              <w:pStyle w:val="A3"/>
              <w:widowControl/>
              <w:jc w:val="center"/>
              <w:rPr>
                <w:rStyle w:val="Hyperlink0"/>
                <w:rFonts w:ascii="仿宋_GB2312" w:eastAsia="仿宋_GB2312" w:hAnsi="仿宋" w:cs="仿宋"/>
                <w:sz w:val="24"/>
                <w:szCs w:val="24"/>
              </w:rPr>
            </w:pPr>
            <w:r w:rsidRPr="000D5725">
              <w:rPr>
                <w:rStyle w:val="Hyperlink0"/>
                <w:rFonts w:ascii="仿宋_GB2312" w:eastAsia="仿宋_GB2312" w:hAnsi="微软雅黑" w:cs="微软雅黑" w:hint="eastAsia"/>
                <w:sz w:val="24"/>
                <w:szCs w:val="24"/>
              </w:rPr>
              <w:t>学习师德典范</w:t>
            </w:r>
          </w:p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0D5725">
              <w:rPr>
                <w:rStyle w:val="Hyperlink0"/>
                <w:rFonts w:ascii="仿宋_GB2312" w:eastAsia="仿宋_GB2312" w:hAnsi="微软雅黑" w:cs="微软雅黑" w:hint="eastAsia"/>
                <w:sz w:val="24"/>
                <w:szCs w:val="24"/>
              </w:rPr>
              <w:t>研讨热点问题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当一名优秀思政课教师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林冬妹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广东水利电力职业技术学院教师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29B" w:rsidRPr="00623140" w:rsidRDefault="002E529B" w:rsidP="00951DEC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黄大年同志先进事迹报告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孙友宏等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黄大年同志先进事迹报告团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当代教师风采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专题片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</w:tr>
      <w:tr w:rsidR="002E529B" w:rsidRPr="00623140" w:rsidTr="002E529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全国师德建设优秀工作案例：华中师范大学师德师风建设的实践探索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何祥林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华中师范大学原党委副书记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全国师德建设优秀工作案例：中南大学师德宣传长效机制建设的实践探索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刘建华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中南大学党委委员、宣传部部长</w:t>
            </w:r>
          </w:p>
        </w:tc>
      </w:tr>
      <w:tr w:rsidR="002E529B" w:rsidRPr="00623140" w:rsidTr="002E529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9B" w:rsidRPr="00623140" w:rsidRDefault="002E529B" w:rsidP="00951DEC">
            <w:pPr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全国师德建设优秀工作案例：保定学院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“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三全</w:t>
            </w:r>
            <w:r w:rsidRPr="00623140">
              <w:rPr>
                <w:rStyle w:val="a4"/>
                <w:rFonts w:ascii="仿宋_GB2312" w:eastAsia="仿宋_GB2312" w:hAnsi="仿宋" w:cs="仿宋" w:hint="eastAsia"/>
                <w:sz w:val="24"/>
                <w:szCs w:val="24"/>
              </w:rPr>
              <w:t>”</w:t>
            </w: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师德建设模式的探索与体会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center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王国英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29B" w:rsidRPr="00623140" w:rsidRDefault="002E529B" w:rsidP="00951DEC">
            <w:pPr>
              <w:pStyle w:val="A3"/>
              <w:widowControl/>
              <w:jc w:val="left"/>
              <w:rPr>
                <w:rFonts w:ascii="仿宋_GB2312" w:eastAsia="仿宋_GB2312"/>
              </w:rPr>
            </w:pPr>
            <w:r w:rsidRPr="00623140">
              <w:rPr>
                <w:rStyle w:val="Hyperlink0"/>
                <w:rFonts w:ascii="仿宋_GB2312" w:eastAsia="仿宋_GB2312" w:hAnsi="仿宋" w:cs="仿宋" w:hint="eastAsia"/>
                <w:sz w:val="24"/>
                <w:szCs w:val="24"/>
              </w:rPr>
              <w:t>保定学院教育系主任</w:t>
            </w:r>
          </w:p>
        </w:tc>
      </w:tr>
    </w:tbl>
    <w:p w:rsidR="001A31FC" w:rsidRDefault="001A31FC"/>
    <w:sectPr w:rsidR="001A31FC" w:rsidSect="001A3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680" w:rsidRDefault="00FD7680" w:rsidP="00D63F89">
      <w:r>
        <w:separator/>
      </w:r>
    </w:p>
  </w:endnote>
  <w:endnote w:type="continuationSeparator" w:id="0">
    <w:p w:rsidR="00FD7680" w:rsidRDefault="00FD7680" w:rsidP="00D6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680" w:rsidRDefault="00FD7680" w:rsidP="00D63F89">
      <w:r>
        <w:separator/>
      </w:r>
    </w:p>
  </w:footnote>
  <w:footnote w:type="continuationSeparator" w:id="0">
    <w:p w:rsidR="00FD7680" w:rsidRDefault="00FD7680" w:rsidP="00D63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29B"/>
    <w:rsid w:val="001A31FC"/>
    <w:rsid w:val="001B4ED5"/>
    <w:rsid w:val="002E529B"/>
    <w:rsid w:val="00377E41"/>
    <w:rsid w:val="00D63F89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5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5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2E529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a4">
    <w:name w:val="无"/>
    <w:rsid w:val="002E529B"/>
  </w:style>
  <w:style w:type="character" w:customStyle="1" w:styleId="Hyperlink0">
    <w:name w:val="Hyperlink.0"/>
    <w:basedOn w:val="a4"/>
    <w:rsid w:val="002E529B"/>
    <w:rPr>
      <w:lang w:val="zh-TW" w:eastAsia="zh-TW"/>
    </w:rPr>
  </w:style>
  <w:style w:type="character" w:customStyle="1" w:styleId="Hyperlink1">
    <w:name w:val="Hyperlink.1"/>
    <w:basedOn w:val="a4"/>
    <w:rsid w:val="002E529B"/>
    <w:rPr>
      <w:kern w:val="2"/>
      <w:lang w:val="zh-TW" w:eastAsia="zh-TW"/>
    </w:rPr>
  </w:style>
  <w:style w:type="character" w:customStyle="1" w:styleId="Hyperlink2">
    <w:name w:val="Hyperlink.2"/>
    <w:basedOn w:val="a4"/>
    <w:rsid w:val="002E529B"/>
    <w:rPr>
      <w:kern w:val="0"/>
      <w:lang w:val="zh-TW" w:eastAsia="zh-TW"/>
    </w:rPr>
  </w:style>
  <w:style w:type="paragraph" w:styleId="a5">
    <w:name w:val="header"/>
    <w:basedOn w:val="a"/>
    <w:link w:val="Char"/>
    <w:uiPriority w:val="99"/>
    <w:semiHidden/>
    <w:unhideWhenUsed/>
    <w:rsid w:val="00D63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3F89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D63F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3F89"/>
    <w:rPr>
      <w:rFonts w:ascii="Times New Roman" w:hAnsi="Times New Roman" w:cs="Times New Roman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enaea.edu.cn/kecheng/detail_2751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.enaea.edu.cn/kecheng/detail_2769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.enaea.edu.cn/kecheng/detail_27694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tudy.enaea.edu.cn/kecheng/detail_27246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2</cp:revision>
  <dcterms:created xsi:type="dcterms:W3CDTF">2018-01-11T09:16:00Z</dcterms:created>
  <dcterms:modified xsi:type="dcterms:W3CDTF">2018-01-12T07:18:00Z</dcterms:modified>
</cp:coreProperties>
</file>